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028" w:rsidRDefault="00A05028" w:rsidP="00A05028">
      <w:bookmarkStart w:id="0" w:name="_GoBack"/>
      <w:bookmarkEnd w:id="0"/>
      <w:r>
        <w:t xml:space="preserve">Below is a list of references providing evidence for consumer </w:t>
      </w:r>
      <w:proofErr w:type="gramStart"/>
      <w:r>
        <w:t>involvement.</w:t>
      </w:r>
      <w:proofErr w:type="gramEnd"/>
      <w:r>
        <w:t xml:space="preserve">  Although there is still limited literature available to support consumer engagement at organisational levels, there is significant evidence for involving consumers and carers at the individual level of care; this is, in their own care and treatment. </w:t>
      </w:r>
    </w:p>
    <w:p w:rsidR="00A05028" w:rsidRPr="00D4336E" w:rsidRDefault="00A05028" w:rsidP="00A05028">
      <w:pPr>
        <w:pStyle w:val="Heading3"/>
      </w:pPr>
      <w:r w:rsidRPr="00D4336E">
        <w:t>Evidence for consumer and carer involvement at the individual level of care and treatment:</w:t>
      </w:r>
    </w:p>
    <w:p w:rsidR="00A05028" w:rsidRPr="00350DA8" w:rsidRDefault="00A05028" w:rsidP="00A05028">
      <w:proofErr w:type="spellStart"/>
      <w:r w:rsidRPr="00350DA8">
        <w:rPr>
          <w:rFonts w:cstheme="minorHAnsi"/>
        </w:rPr>
        <w:t>Boulding</w:t>
      </w:r>
      <w:proofErr w:type="spellEnd"/>
      <w:r w:rsidRPr="00350DA8">
        <w:rPr>
          <w:rFonts w:cstheme="minorHAnsi"/>
        </w:rPr>
        <w:t xml:space="preserve"> W, Glickman S, </w:t>
      </w:r>
      <w:proofErr w:type="spellStart"/>
      <w:r w:rsidRPr="00350DA8">
        <w:rPr>
          <w:rFonts w:cstheme="minorHAnsi"/>
        </w:rPr>
        <w:t>Manary</w:t>
      </w:r>
      <w:proofErr w:type="spellEnd"/>
      <w:r w:rsidRPr="00350DA8">
        <w:rPr>
          <w:rFonts w:cstheme="minorHAnsi"/>
        </w:rPr>
        <w:t xml:space="preserve"> M, Schulman K, </w:t>
      </w:r>
      <w:proofErr w:type="spellStart"/>
      <w:r w:rsidRPr="00350DA8">
        <w:rPr>
          <w:rFonts w:cstheme="minorHAnsi"/>
        </w:rPr>
        <w:t>Staelin</w:t>
      </w:r>
      <w:proofErr w:type="spellEnd"/>
      <w:r w:rsidRPr="00350DA8">
        <w:rPr>
          <w:rFonts w:cstheme="minorHAnsi"/>
        </w:rPr>
        <w:t xml:space="preserve"> R. Relationship between patient satisfaction with inpatient care and hospital readmission within 30 days. </w:t>
      </w:r>
      <w:r w:rsidRPr="00350DA8">
        <w:rPr>
          <w:rFonts w:cstheme="minorHAnsi"/>
          <w:i/>
          <w:iCs/>
        </w:rPr>
        <w:t>The American</w:t>
      </w:r>
      <w:r w:rsidRPr="00350DA8">
        <w:rPr>
          <w:rFonts w:cstheme="minorHAnsi"/>
        </w:rPr>
        <w:t xml:space="preserve"> </w:t>
      </w:r>
      <w:r w:rsidRPr="00350DA8">
        <w:rPr>
          <w:rFonts w:cstheme="minorHAnsi"/>
          <w:i/>
          <w:iCs/>
        </w:rPr>
        <w:t xml:space="preserve">Journal of Managed Care </w:t>
      </w:r>
      <w:r w:rsidRPr="00350DA8">
        <w:rPr>
          <w:rFonts w:cstheme="minorHAnsi"/>
        </w:rPr>
        <w:t>2011; 17(1):41-48.</w:t>
      </w:r>
    </w:p>
    <w:p w:rsidR="00A05028" w:rsidRPr="00D740DB" w:rsidRDefault="00A05028" w:rsidP="00A05028">
      <w:pPr>
        <w:rPr>
          <w:rFonts w:cstheme="minorHAnsi"/>
        </w:rPr>
      </w:pPr>
      <w:proofErr w:type="spellStart"/>
      <w:proofErr w:type="gramStart"/>
      <w:r w:rsidRPr="0064487D">
        <w:rPr>
          <w:rFonts w:cstheme="minorHAnsi"/>
        </w:rPr>
        <w:t>Arbuthnott</w:t>
      </w:r>
      <w:proofErr w:type="spellEnd"/>
      <w:r w:rsidRPr="0064487D">
        <w:rPr>
          <w:rFonts w:cstheme="minorHAnsi"/>
        </w:rPr>
        <w:t xml:space="preserve"> A, Sharpe D.</w:t>
      </w:r>
      <w:proofErr w:type="gramEnd"/>
      <w:r w:rsidRPr="0064487D">
        <w:rPr>
          <w:rFonts w:cstheme="minorHAnsi"/>
        </w:rPr>
        <w:t xml:space="preserve"> </w:t>
      </w:r>
      <w:proofErr w:type="gramStart"/>
      <w:r w:rsidRPr="0064487D">
        <w:rPr>
          <w:rFonts w:cstheme="minorHAnsi"/>
        </w:rPr>
        <w:t>The effect of physician patient collaboration on patient adherence in non-psychiatric medicine.</w:t>
      </w:r>
      <w:proofErr w:type="gramEnd"/>
      <w:r w:rsidRPr="0064487D">
        <w:rPr>
          <w:rFonts w:cstheme="minorHAnsi"/>
        </w:rPr>
        <w:t xml:space="preserve"> </w:t>
      </w:r>
      <w:r w:rsidRPr="0064487D">
        <w:rPr>
          <w:rFonts w:cstheme="minorHAnsi"/>
          <w:i/>
          <w:iCs/>
        </w:rPr>
        <w:t>Patient Education and</w:t>
      </w:r>
      <w:r w:rsidRPr="0064487D">
        <w:rPr>
          <w:rFonts w:cstheme="minorHAnsi"/>
        </w:rPr>
        <w:t xml:space="preserve"> </w:t>
      </w:r>
      <w:proofErr w:type="spellStart"/>
      <w:r w:rsidRPr="0064487D">
        <w:rPr>
          <w:rFonts w:cstheme="minorHAnsi"/>
          <w:i/>
          <w:iCs/>
        </w:rPr>
        <w:t>Counseling</w:t>
      </w:r>
      <w:proofErr w:type="spellEnd"/>
      <w:r w:rsidRPr="0064487D">
        <w:rPr>
          <w:rFonts w:cstheme="minorHAnsi"/>
          <w:i/>
          <w:iCs/>
        </w:rPr>
        <w:t xml:space="preserve"> </w:t>
      </w:r>
      <w:r w:rsidRPr="0064487D">
        <w:rPr>
          <w:rFonts w:cstheme="minorHAnsi"/>
        </w:rPr>
        <w:t>2009; 77(1):60-67.</w:t>
      </w:r>
    </w:p>
    <w:p w:rsidR="00A05028" w:rsidRPr="00D740DB" w:rsidRDefault="00A05028" w:rsidP="00A05028">
      <w:pPr>
        <w:rPr>
          <w:rFonts w:cstheme="minorHAnsi"/>
        </w:rPr>
      </w:pPr>
      <w:proofErr w:type="spellStart"/>
      <w:r w:rsidRPr="0064487D">
        <w:rPr>
          <w:rFonts w:cstheme="minorHAnsi"/>
        </w:rPr>
        <w:t>Meterko</w:t>
      </w:r>
      <w:proofErr w:type="spellEnd"/>
      <w:r w:rsidRPr="0064487D">
        <w:rPr>
          <w:rFonts w:cstheme="minorHAnsi"/>
        </w:rPr>
        <w:t xml:space="preserve"> M, Wright S, Lin H, Lowy E, Cleary PD. Mortality among patients with acute myocardial infarction: The influences of patient-</w:t>
      </w:r>
      <w:proofErr w:type="spellStart"/>
      <w:r w:rsidRPr="0064487D">
        <w:rPr>
          <w:rFonts w:cstheme="minorHAnsi"/>
        </w:rPr>
        <w:t>centered</w:t>
      </w:r>
      <w:proofErr w:type="spellEnd"/>
      <w:r w:rsidRPr="0064487D">
        <w:rPr>
          <w:rFonts w:cstheme="minorHAnsi"/>
        </w:rPr>
        <w:t xml:space="preserve"> care and evidence-based medicine. Health Services</w:t>
      </w:r>
      <w:r>
        <w:rPr>
          <w:rFonts w:cstheme="minorHAnsi"/>
        </w:rPr>
        <w:t xml:space="preserve"> </w:t>
      </w:r>
      <w:r w:rsidRPr="0064487D">
        <w:rPr>
          <w:rFonts w:cstheme="minorHAnsi"/>
        </w:rPr>
        <w:t>Research 2010; 45(5p1):1188-1204.</w:t>
      </w:r>
    </w:p>
    <w:p w:rsidR="00A05028" w:rsidRPr="00D740DB" w:rsidRDefault="00A05028" w:rsidP="00A05028">
      <w:pPr>
        <w:rPr>
          <w:rFonts w:cstheme="minorHAnsi"/>
        </w:rPr>
      </w:pPr>
      <w:proofErr w:type="spellStart"/>
      <w:r w:rsidRPr="0064487D">
        <w:rPr>
          <w:rFonts w:cstheme="minorHAnsi"/>
        </w:rPr>
        <w:t>DiGioia</w:t>
      </w:r>
      <w:proofErr w:type="spellEnd"/>
      <w:r w:rsidRPr="0064487D">
        <w:rPr>
          <w:rFonts w:cstheme="minorHAnsi"/>
        </w:rPr>
        <w:t xml:space="preserve"> A, Greenhouse P, </w:t>
      </w:r>
      <w:proofErr w:type="spellStart"/>
      <w:r w:rsidRPr="0064487D">
        <w:rPr>
          <w:rFonts w:cstheme="minorHAnsi"/>
        </w:rPr>
        <w:t>Levison</w:t>
      </w:r>
      <w:proofErr w:type="spellEnd"/>
      <w:r w:rsidRPr="0064487D">
        <w:rPr>
          <w:rFonts w:cstheme="minorHAnsi"/>
        </w:rPr>
        <w:t xml:space="preserve"> T. Patient and family-</w:t>
      </w:r>
      <w:proofErr w:type="spellStart"/>
      <w:r w:rsidRPr="0064487D">
        <w:rPr>
          <w:rFonts w:cstheme="minorHAnsi"/>
        </w:rPr>
        <w:t>centered</w:t>
      </w:r>
      <w:proofErr w:type="spellEnd"/>
      <w:r w:rsidRPr="0064487D">
        <w:rPr>
          <w:rFonts w:cstheme="minorHAnsi"/>
        </w:rPr>
        <w:t xml:space="preserve"> collaborative care: An orthopaedic model. </w:t>
      </w:r>
      <w:proofErr w:type="gramStart"/>
      <w:r w:rsidRPr="0064487D">
        <w:rPr>
          <w:rFonts w:cstheme="minorHAnsi"/>
          <w:i/>
        </w:rPr>
        <w:t>Clinical Orthopaedics and Related Research</w:t>
      </w:r>
      <w:r w:rsidRPr="0064487D">
        <w:rPr>
          <w:rFonts w:cstheme="minorHAnsi"/>
        </w:rPr>
        <w:t xml:space="preserve"> 2007; 463: 13-19.</w:t>
      </w:r>
      <w:proofErr w:type="gramEnd"/>
    </w:p>
    <w:p w:rsidR="00A05028" w:rsidRPr="00D740DB" w:rsidRDefault="00A05028" w:rsidP="00A05028">
      <w:pPr>
        <w:rPr>
          <w:rFonts w:cstheme="minorHAnsi"/>
        </w:rPr>
      </w:pPr>
      <w:proofErr w:type="spellStart"/>
      <w:r w:rsidRPr="0064487D">
        <w:rPr>
          <w:rFonts w:cstheme="minorHAnsi"/>
        </w:rPr>
        <w:t>Arbuthnott</w:t>
      </w:r>
      <w:proofErr w:type="spellEnd"/>
      <w:r w:rsidRPr="0064487D">
        <w:rPr>
          <w:rFonts w:cstheme="minorHAnsi"/>
        </w:rPr>
        <w:t xml:space="preserve"> </w:t>
      </w:r>
      <w:proofErr w:type="gramStart"/>
      <w:r w:rsidRPr="0064487D">
        <w:rPr>
          <w:rFonts w:cstheme="minorHAnsi"/>
        </w:rPr>
        <w:t>A  and</w:t>
      </w:r>
      <w:proofErr w:type="gramEnd"/>
      <w:r w:rsidRPr="0064487D">
        <w:rPr>
          <w:rFonts w:cstheme="minorHAnsi"/>
        </w:rPr>
        <w:t xml:space="preserve">  Sharpe D. </w:t>
      </w:r>
      <w:proofErr w:type="gramStart"/>
      <w:r w:rsidRPr="0064487D">
        <w:rPr>
          <w:rFonts w:cstheme="minorHAnsi"/>
        </w:rPr>
        <w:t>The effect of physician–patient collaboration on patient adherence in non-psychiatric medicine.</w:t>
      </w:r>
      <w:proofErr w:type="gramEnd"/>
      <w:r w:rsidRPr="0064487D">
        <w:rPr>
          <w:rFonts w:cstheme="minorHAnsi"/>
        </w:rPr>
        <w:t xml:space="preserve"> </w:t>
      </w:r>
      <w:r w:rsidRPr="0064487D">
        <w:rPr>
          <w:rFonts w:cstheme="minorHAnsi"/>
          <w:i/>
        </w:rPr>
        <w:t xml:space="preserve">Patient Education and </w:t>
      </w:r>
      <w:proofErr w:type="spellStart"/>
      <w:proofErr w:type="gramStart"/>
      <w:r w:rsidRPr="0064487D">
        <w:rPr>
          <w:rFonts w:cstheme="minorHAnsi"/>
          <w:i/>
        </w:rPr>
        <w:t>Counseling</w:t>
      </w:r>
      <w:proofErr w:type="spellEnd"/>
      <w:r w:rsidRPr="0064487D">
        <w:rPr>
          <w:rFonts w:cstheme="minorHAnsi"/>
        </w:rPr>
        <w:t xml:space="preserve">  2009</w:t>
      </w:r>
      <w:proofErr w:type="gramEnd"/>
      <w:r w:rsidRPr="0064487D">
        <w:rPr>
          <w:rFonts w:cstheme="minorHAnsi"/>
        </w:rPr>
        <w:t>; 77: 60–67</w:t>
      </w:r>
    </w:p>
    <w:p w:rsidR="00A05028" w:rsidRDefault="00A05028" w:rsidP="00A05028">
      <w:pPr>
        <w:rPr>
          <w:rFonts w:cstheme="minorHAnsi"/>
        </w:rPr>
      </w:pPr>
      <w:r w:rsidRPr="0064487D">
        <w:rPr>
          <w:rFonts w:cstheme="minorHAnsi"/>
        </w:rPr>
        <w:t xml:space="preserve">Stone S. </w:t>
      </w:r>
      <w:proofErr w:type="gramStart"/>
      <w:r w:rsidRPr="0064487D">
        <w:rPr>
          <w:rFonts w:cstheme="minorHAnsi"/>
        </w:rPr>
        <w:t xml:space="preserve">A Retrospective Evaluation of the Impact of the </w:t>
      </w:r>
      <w:proofErr w:type="spellStart"/>
      <w:r w:rsidRPr="0064487D">
        <w:rPr>
          <w:rFonts w:cstheme="minorHAnsi"/>
        </w:rPr>
        <w:t>Planetree</w:t>
      </w:r>
      <w:proofErr w:type="spellEnd"/>
      <w:r w:rsidRPr="0064487D">
        <w:rPr>
          <w:rFonts w:cstheme="minorHAnsi"/>
        </w:rPr>
        <w:t xml:space="preserve"> Patient-</w:t>
      </w:r>
      <w:proofErr w:type="spellStart"/>
      <w:r w:rsidRPr="0064487D">
        <w:rPr>
          <w:rFonts w:cstheme="minorHAnsi"/>
        </w:rPr>
        <w:t>Centered</w:t>
      </w:r>
      <w:proofErr w:type="spellEnd"/>
      <w:r w:rsidRPr="0064487D">
        <w:rPr>
          <w:rFonts w:cstheme="minorHAnsi"/>
        </w:rPr>
        <w:t xml:space="preserve"> Model of Care on Inpatient Quality Outcomes.</w:t>
      </w:r>
      <w:proofErr w:type="gramEnd"/>
      <w:r w:rsidRPr="0064487D">
        <w:rPr>
          <w:rFonts w:cstheme="minorHAnsi"/>
        </w:rPr>
        <w:t xml:space="preserve">  </w:t>
      </w:r>
      <w:r w:rsidRPr="0064487D">
        <w:rPr>
          <w:rFonts w:cstheme="minorHAnsi"/>
          <w:i/>
        </w:rPr>
        <w:t>Health Environments Research &amp; Design Journal</w:t>
      </w:r>
      <w:r w:rsidRPr="0064487D">
        <w:rPr>
          <w:rFonts w:cstheme="minorHAnsi"/>
        </w:rPr>
        <w:t xml:space="preserve"> 2008; 1 (4) </w:t>
      </w:r>
    </w:p>
    <w:p w:rsidR="00AE3AA7" w:rsidRPr="00AE3AA7" w:rsidRDefault="00A05028" w:rsidP="00AE3AA7">
      <w:pPr>
        <w:pStyle w:val="NormalPreHyperlink"/>
        <w:rPr>
          <w:rStyle w:val="Hyperlink"/>
        </w:rPr>
      </w:pPr>
      <w:r w:rsidRPr="00FF3D86">
        <w:lastRenderedPageBreak/>
        <w:t xml:space="preserve">Choy ET, Chiu A, </w:t>
      </w:r>
      <w:proofErr w:type="spellStart"/>
      <w:r w:rsidRPr="00FF3D86">
        <w:t>Butow</w:t>
      </w:r>
      <w:proofErr w:type="spellEnd"/>
      <w:r w:rsidRPr="00FF3D86">
        <w:t xml:space="preserve"> P, et al.  2007. A pilot study to evaluate the impact of involving breast cancer patients in the multidisciplinary discussion of their disease and treatment plan. </w:t>
      </w:r>
      <w:proofErr w:type="gramStart"/>
      <w:r w:rsidRPr="00FF3D86">
        <w:t>Breast.</w:t>
      </w:r>
      <w:proofErr w:type="gramEnd"/>
      <w:r w:rsidRPr="00FF3D86">
        <w:t xml:space="preserve"> 16(2):178-189 </w:t>
      </w:r>
    </w:p>
    <w:p w:rsidR="00A05028" w:rsidRPr="00AE3AA7" w:rsidRDefault="005C1D5D" w:rsidP="00AE3AA7">
      <w:pPr>
        <w:pStyle w:val="RedLink"/>
        <w:rPr>
          <w:rStyle w:val="Hyperlink"/>
        </w:rPr>
      </w:pPr>
      <w:hyperlink r:id="rId8" w:history="1">
        <w:r w:rsidR="00A05028" w:rsidRPr="00AE3AA7">
          <w:rPr>
            <w:rStyle w:val="Hyperlink"/>
          </w:rPr>
          <w:t>http://www.ncbi.nlm.nih.gov/pubmed/17158048</w:t>
        </w:r>
      </w:hyperlink>
    </w:p>
    <w:p w:rsidR="00A05028" w:rsidRPr="00D4336E" w:rsidRDefault="00A05028" w:rsidP="00A05028">
      <w:pPr>
        <w:pStyle w:val="Heading3"/>
      </w:pPr>
      <w:r>
        <w:t>S</w:t>
      </w:r>
      <w:r w:rsidRPr="00D4336E">
        <w:t>ummaries of evidence for co</w:t>
      </w:r>
      <w:r>
        <w:t>nsumer involvement in health</w:t>
      </w:r>
      <w:r w:rsidRPr="00D4336E">
        <w:t>:</w:t>
      </w:r>
    </w:p>
    <w:p w:rsidR="00AE3AA7" w:rsidRDefault="00A05028" w:rsidP="00AE3AA7">
      <w:pPr>
        <w:pStyle w:val="NormalPreHyperlink"/>
      </w:pPr>
      <w:proofErr w:type="gramStart"/>
      <w:r>
        <w:t>Consumer Focus Collaboration.</w:t>
      </w:r>
      <w:proofErr w:type="gramEnd"/>
      <w:r w:rsidRPr="00FE002F">
        <w:t xml:space="preserve"> </w:t>
      </w:r>
      <w:proofErr w:type="gramStart"/>
      <w:r w:rsidRPr="00FE002F">
        <w:t>The evidence supporting co</w:t>
      </w:r>
      <w:r>
        <w:t>nsumer participation in health 2001.</w:t>
      </w:r>
      <w:proofErr w:type="gramEnd"/>
      <w:r>
        <w:t xml:space="preserve"> Viewed at </w:t>
      </w:r>
    </w:p>
    <w:p w:rsidR="00A05028" w:rsidRPr="00A05028" w:rsidRDefault="005C1D5D" w:rsidP="00A05028">
      <w:pPr>
        <w:rPr>
          <w:rFonts w:cstheme="minorHAnsi"/>
        </w:rPr>
      </w:pPr>
      <w:hyperlink r:id="rId9" w:history="1">
        <w:r w:rsidR="00A05028" w:rsidRPr="00A05028">
          <w:rPr>
            <w:rStyle w:val="Hyperlink"/>
          </w:rPr>
          <w:t>http://www.</w:t>
        </w:r>
        <w:r w:rsidR="00A05028" w:rsidRPr="00AE3AA7">
          <w:rPr>
            <w:rStyle w:val="Hyperlink"/>
          </w:rPr>
          <w:t>healthissuescentre</w:t>
        </w:r>
        <w:r w:rsidR="00A05028" w:rsidRPr="00A05028">
          <w:rPr>
            <w:rStyle w:val="Hyperlink"/>
          </w:rPr>
          <w:t>.org.au/documents/items/2008/08/226174-upload-</w:t>
        </w:r>
        <w:r w:rsidR="00A05028" w:rsidRPr="00AE3AA7">
          <w:rPr>
            <w:rStyle w:val="Hyperlink"/>
          </w:rPr>
          <w:t>00001</w:t>
        </w:r>
        <w:r w:rsidR="00A05028" w:rsidRPr="00A05028">
          <w:rPr>
            <w:rStyle w:val="Hyperlink"/>
          </w:rPr>
          <w:t>.pdf</w:t>
        </w:r>
      </w:hyperlink>
    </w:p>
    <w:p w:rsidR="00AE3AA7" w:rsidRDefault="00A05028" w:rsidP="00AE3AA7">
      <w:pPr>
        <w:pStyle w:val="NormalPreHyperlink"/>
      </w:pPr>
      <w:r w:rsidRPr="00FE002F">
        <w:t>Health Consumers Queensland … your voice in health</w:t>
      </w:r>
      <w:r>
        <w:t xml:space="preserve">. 2012. </w:t>
      </w:r>
      <w:r w:rsidRPr="00FE002F">
        <w:t>Consumer and community engagement: Evidence of improved individual health</w:t>
      </w:r>
      <w:r>
        <w:t xml:space="preserve"> </w:t>
      </w:r>
      <w:r w:rsidRPr="00FE002F">
        <w:t>outcomes, services and systems</w:t>
      </w:r>
      <w:r>
        <w:t>. Viewed at</w:t>
      </w:r>
    </w:p>
    <w:p w:rsidR="00A05028" w:rsidRPr="00A05028" w:rsidRDefault="005C1D5D" w:rsidP="00A05028">
      <w:pPr>
        <w:rPr>
          <w:color w:val="B5121B"/>
        </w:rPr>
      </w:pPr>
      <w:hyperlink r:id="rId10" w:history="1">
        <w:r w:rsidR="00A05028" w:rsidRPr="00A05028">
          <w:rPr>
            <w:rStyle w:val="Hyperlink"/>
          </w:rPr>
          <w:t>http://www.</w:t>
        </w:r>
        <w:r w:rsidR="00A05028" w:rsidRPr="00AE3AA7">
          <w:rPr>
            <w:rStyle w:val="Hyperlink"/>
          </w:rPr>
          <w:t>health</w:t>
        </w:r>
        <w:r w:rsidR="00A05028" w:rsidRPr="00A05028">
          <w:rPr>
            <w:rStyle w:val="Hyperlink"/>
          </w:rPr>
          <w:t>.qld.gov.au/</w:t>
        </w:r>
        <w:r w:rsidR="00A05028" w:rsidRPr="00AE3AA7">
          <w:rPr>
            <w:rStyle w:val="Hyperlink"/>
          </w:rPr>
          <w:t>hcq</w:t>
        </w:r>
        <w:r w:rsidR="00A05028" w:rsidRPr="00A05028">
          <w:rPr>
            <w:rStyle w:val="Hyperlink"/>
          </w:rPr>
          <w:t>/publications/improved-health.pdf</w:t>
        </w:r>
      </w:hyperlink>
    </w:p>
    <w:p w:rsidR="00A05028" w:rsidRPr="00D4336E" w:rsidRDefault="00A05028" w:rsidP="00A05028">
      <w:pPr>
        <w:pStyle w:val="Heading3"/>
      </w:pPr>
      <w:r>
        <w:t xml:space="preserve">Several </w:t>
      </w:r>
      <w:r w:rsidRPr="00D4336E">
        <w:t>studies have demonstrate</w:t>
      </w:r>
      <w:r>
        <w:t>d</w:t>
      </w:r>
      <w:r w:rsidRPr="00D4336E">
        <w:t xml:space="preserve"> an economic case for consumer engagement</w:t>
      </w:r>
      <w:r w:rsidR="00AE3AA7">
        <w:t>:</w:t>
      </w:r>
    </w:p>
    <w:p w:rsidR="00A05028" w:rsidRDefault="00A05028" w:rsidP="00A05028">
      <w:pPr>
        <w:rPr>
          <w:rFonts w:cstheme="minorHAnsi"/>
        </w:rPr>
      </w:pPr>
      <w:proofErr w:type="spellStart"/>
      <w:proofErr w:type="gramStart"/>
      <w:r w:rsidRPr="00FE002F">
        <w:rPr>
          <w:rFonts w:cstheme="minorHAnsi"/>
        </w:rPr>
        <w:t>Charmel</w:t>
      </w:r>
      <w:proofErr w:type="spellEnd"/>
      <w:r w:rsidRPr="00FE002F">
        <w:rPr>
          <w:rFonts w:cstheme="minorHAnsi"/>
        </w:rPr>
        <w:t xml:space="preserve"> P and Frampton S. Building the business case for patient-centred care.</w:t>
      </w:r>
      <w:proofErr w:type="gramEnd"/>
      <w:r w:rsidRPr="00FE002F">
        <w:rPr>
          <w:rFonts w:cstheme="minorHAnsi"/>
        </w:rPr>
        <w:t xml:space="preserve"> </w:t>
      </w:r>
      <w:r w:rsidRPr="00FE002F">
        <w:rPr>
          <w:rFonts w:cstheme="minorHAnsi"/>
          <w:i/>
          <w:iCs/>
        </w:rPr>
        <w:t>Healthcare</w:t>
      </w:r>
      <w:r w:rsidRPr="00FE002F">
        <w:rPr>
          <w:rFonts w:cstheme="minorHAnsi"/>
        </w:rPr>
        <w:t xml:space="preserve"> </w:t>
      </w:r>
      <w:r w:rsidRPr="00FE002F">
        <w:rPr>
          <w:rFonts w:cstheme="minorHAnsi"/>
          <w:i/>
          <w:iCs/>
        </w:rPr>
        <w:t xml:space="preserve">Financial Management </w:t>
      </w:r>
      <w:r w:rsidRPr="00FE002F">
        <w:rPr>
          <w:rFonts w:cstheme="minorHAnsi"/>
        </w:rPr>
        <w:t>2008; March 62 (3):80-85.</w:t>
      </w:r>
    </w:p>
    <w:p w:rsidR="00A05028" w:rsidRPr="00AE3AA7" w:rsidRDefault="00A05028" w:rsidP="00AE3AA7">
      <w:pPr>
        <w:pStyle w:val="NormalPreHyperlink"/>
        <w:rPr>
          <w:rStyle w:val="Hyperlink"/>
        </w:rPr>
      </w:pPr>
      <w:r w:rsidRPr="00FE002F">
        <w:t xml:space="preserve">Gilbert D. </w:t>
      </w:r>
      <w:proofErr w:type="gramStart"/>
      <w:r w:rsidRPr="00FE002F">
        <w:t>An Economic Case for Involvement.</w:t>
      </w:r>
      <w:proofErr w:type="gramEnd"/>
      <w:r w:rsidRPr="00FE002F">
        <w:t xml:space="preserve">  </w:t>
      </w:r>
      <w:proofErr w:type="spellStart"/>
      <w:proofErr w:type="gramStart"/>
      <w:r w:rsidRPr="00FE002F">
        <w:t>InHealth</w:t>
      </w:r>
      <w:proofErr w:type="spellEnd"/>
      <w:r w:rsidRPr="00FE002F">
        <w:t xml:space="preserve"> Associates.</w:t>
      </w:r>
      <w:proofErr w:type="gramEnd"/>
      <w:r w:rsidRPr="00FE002F">
        <w:t xml:space="preserve"> Viewed 24 August 2012 at</w:t>
      </w:r>
    </w:p>
    <w:p w:rsidR="00A05028" w:rsidRPr="00AE3AA7" w:rsidRDefault="005C1D5D" w:rsidP="00A05028">
      <w:pPr>
        <w:pStyle w:val="RedLink"/>
        <w:rPr>
          <w:rStyle w:val="Hyperlink"/>
        </w:rPr>
      </w:pPr>
      <w:hyperlink r:id="rId11" w:history="1">
        <w:r w:rsidR="00A05028" w:rsidRPr="00AE3AA7">
          <w:rPr>
            <w:rStyle w:val="Hyperlink"/>
          </w:rPr>
          <w:t>http://www.inhealthassociates.co.uk/uploads/documents/An%20economic%20case%20for%20involvement%20v4.pdf</w:t>
        </w:r>
      </w:hyperlink>
    </w:p>
    <w:p w:rsidR="00C351E2" w:rsidRDefault="00C351E2" w:rsidP="00483F7E">
      <w:pPr>
        <w:sectPr w:rsidR="00C351E2" w:rsidSect="00342CE2">
          <w:headerReference w:type="first" r:id="rId12"/>
          <w:footerReference w:type="first" r:id="rId13"/>
          <w:pgSz w:w="11906" w:h="16838" w:code="9"/>
          <w:pgMar w:top="2835" w:right="567" w:bottom="1701" w:left="567" w:header="284" w:footer="284" w:gutter="0"/>
          <w:cols w:num="2" w:space="340"/>
          <w:titlePg/>
          <w:docGrid w:linePitch="360"/>
        </w:sectPr>
      </w:pPr>
    </w:p>
    <w:p w:rsidR="00A05028" w:rsidRPr="00D4336E" w:rsidRDefault="00A05028" w:rsidP="00A05028">
      <w:pPr>
        <w:pStyle w:val="Heading3"/>
      </w:pPr>
      <w:r w:rsidRPr="00D4336E">
        <w:lastRenderedPageBreak/>
        <w:t xml:space="preserve">Evidence for consumer involvement in research has been </w:t>
      </w:r>
      <w:r w:rsidR="00AE3AA7">
        <w:t>documented by the NHS in the UK:</w:t>
      </w:r>
    </w:p>
    <w:p w:rsidR="00A05028" w:rsidRPr="00350DA8" w:rsidRDefault="00A05028" w:rsidP="00AE3AA7">
      <w:pPr>
        <w:pStyle w:val="NormalPreHyperlink"/>
      </w:pPr>
      <w:r w:rsidRPr="00350DA8">
        <w:t>Staley K. Exploring Impact: Public involvement in NHS, public health and social care research. 2009</w:t>
      </w:r>
      <w:r>
        <w:t xml:space="preserve">. </w:t>
      </w:r>
      <w:r w:rsidRPr="00350DA8">
        <w:t>INVOLVE, Eastleigh. Viewed at</w:t>
      </w:r>
    </w:p>
    <w:p w:rsidR="00A05028" w:rsidRPr="00AE3AA7" w:rsidRDefault="005C1D5D" w:rsidP="00A05028">
      <w:pPr>
        <w:pStyle w:val="RedLink"/>
        <w:rPr>
          <w:rStyle w:val="Hyperlink"/>
        </w:rPr>
      </w:pPr>
      <w:hyperlink r:id="rId14" w:history="1">
        <w:r w:rsidR="00A05028" w:rsidRPr="00AE3AA7">
          <w:rPr>
            <w:rStyle w:val="Hyperlink"/>
          </w:rPr>
          <w:t>http://www.invo.org.uk/wp-content/uploads/2011/11/Involve_Exploring_Impactfinal28.10.09.pdf</w:t>
        </w:r>
      </w:hyperlink>
    </w:p>
    <w:p w:rsidR="00A05028" w:rsidRPr="00A57E92" w:rsidRDefault="00A05028" w:rsidP="00A05028">
      <w:pPr>
        <w:pStyle w:val="Heading3"/>
      </w:pPr>
      <w:r w:rsidRPr="00A57E92">
        <w:t>Evidence for consumer involvement in policy:</w:t>
      </w:r>
    </w:p>
    <w:p w:rsidR="00A05028" w:rsidRDefault="00A05028" w:rsidP="00AE3AA7">
      <w:pPr>
        <w:pStyle w:val="NormalPreHyperlink"/>
      </w:pPr>
      <w:proofErr w:type="spellStart"/>
      <w:proofErr w:type="gramStart"/>
      <w:r w:rsidRPr="00A57E92">
        <w:t>Nilsen</w:t>
      </w:r>
      <w:proofErr w:type="spellEnd"/>
      <w:r w:rsidRPr="00A57E92">
        <w:t xml:space="preserve"> ES</w:t>
      </w:r>
      <w:r>
        <w:t>,</w:t>
      </w:r>
      <w:r w:rsidRPr="00A57E92">
        <w:t xml:space="preserve"> </w:t>
      </w:r>
      <w:proofErr w:type="spellStart"/>
      <w:r w:rsidRPr="00A57E92">
        <w:t>Myrhaug</w:t>
      </w:r>
      <w:proofErr w:type="spellEnd"/>
      <w:r w:rsidRPr="00A57E92">
        <w:t xml:space="preserve"> HT</w:t>
      </w:r>
      <w:r>
        <w:t>,</w:t>
      </w:r>
      <w:r w:rsidRPr="00A57E92">
        <w:t xml:space="preserve"> Johansen M</w:t>
      </w:r>
      <w:r>
        <w:t>,</w:t>
      </w:r>
      <w:r w:rsidRPr="00A57E92">
        <w:t xml:space="preserve"> Oliver S</w:t>
      </w:r>
      <w:r>
        <w:t>,</w:t>
      </w:r>
      <w:r w:rsidRPr="00A57E92">
        <w:t xml:space="preserve"> </w:t>
      </w:r>
      <w:proofErr w:type="spellStart"/>
      <w:r w:rsidRPr="00A57E92">
        <w:t>Oxman</w:t>
      </w:r>
      <w:proofErr w:type="spellEnd"/>
      <w:r w:rsidRPr="00A57E92">
        <w:t xml:space="preserve"> AD.</w:t>
      </w:r>
      <w:proofErr w:type="gramEnd"/>
      <w:r w:rsidRPr="00A57E92">
        <w:t xml:space="preserve"> 2010. Methods of consumer involvement in developing healthcare policy and research, clinical practice guidelines and patient information material (Review). </w:t>
      </w:r>
      <w:proofErr w:type="gramStart"/>
      <w:r w:rsidRPr="00A57E92">
        <w:t>The Cochrane Collaboration.</w:t>
      </w:r>
      <w:proofErr w:type="gramEnd"/>
      <w:r w:rsidRPr="00A57E92">
        <w:t xml:space="preserve"> John Wiley &amp; Sons, Ltd</w:t>
      </w:r>
    </w:p>
    <w:p w:rsidR="00001BB1" w:rsidRPr="00AE3AA7" w:rsidRDefault="005C1D5D" w:rsidP="00AE3AA7">
      <w:pPr>
        <w:pStyle w:val="RedLink"/>
        <w:rPr>
          <w:rStyle w:val="Hyperlink"/>
        </w:rPr>
      </w:pPr>
      <w:hyperlink r:id="rId15" w:history="1">
        <w:r w:rsidR="00A05028" w:rsidRPr="00AE3AA7">
          <w:rPr>
            <w:rStyle w:val="Hyperlink"/>
          </w:rPr>
          <w:t>http://onlinelibrary.wiley.com/doi/10.1002/14651858.CD004563.pub2/pdf/standard</w:t>
        </w:r>
      </w:hyperlink>
    </w:p>
    <w:sectPr w:rsidR="00001BB1" w:rsidRPr="00AE3AA7" w:rsidSect="00342CE2">
      <w:headerReference w:type="first" r:id="rId16"/>
      <w:footerReference w:type="first" r:id="rId17"/>
      <w:pgSz w:w="11906" w:h="16838" w:code="9"/>
      <w:pgMar w:top="2268" w:right="567" w:bottom="1701" w:left="567" w:header="567" w:footer="284" w:gutter="0"/>
      <w:cols w:num="2" w:space="34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7F" w:rsidRDefault="0067267F" w:rsidP="000938F4">
      <w:pPr>
        <w:spacing w:after="0" w:line="240" w:lineRule="auto"/>
      </w:pPr>
      <w:r>
        <w:separator/>
      </w:r>
    </w:p>
  </w:endnote>
  <w:endnote w:type="continuationSeparator" w:id="0">
    <w:p w:rsidR="0067267F" w:rsidRDefault="0067267F" w:rsidP="0009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4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54"/>
    </w:tblGrid>
    <w:tr w:rsidR="0055699E" w:rsidRPr="00A86E96" w:rsidTr="00DD1242">
      <w:trPr>
        <w:trHeight w:val="280"/>
      </w:trPr>
      <w:tc>
        <w:tcPr>
          <w:tcW w:w="7146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55699E" w:rsidRPr="00A86E96" w:rsidRDefault="00014022" w:rsidP="00DD1242">
          <w:pPr>
            <w:pStyle w:val="PageFootnote"/>
            <w:jc w:val="left"/>
          </w:pPr>
          <w:r>
            <w:rPr>
              <w:noProof/>
              <w:lang w:val="en-AU" w:eastAsia="en-AU"/>
            </w:rPr>
            <w:drawing>
              <wp:anchor distT="0" distB="0" distL="114300" distR="114300" simplePos="0" relativeHeight="251672576" behindDoc="1" locked="0" layoutInCell="1" allowOverlap="1" wp14:anchorId="2C5D64F0" wp14:editId="15F6137F">
                <wp:simplePos x="0" y="0"/>
                <wp:positionH relativeFrom="column">
                  <wp:posOffset>-360045</wp:posOffset>
                </wp:positionH>
                <wp:positionV relativeFrom="paragraph">
                  <wp:posOffset>-347345</wp:posOffset>
                </wp:positionV>
                <wp:extent cx="7559040" cy="971550"/>
                <wp:effectExtent l="19050" t="0" r="3810" b="0"/>
                <wp:wrapNone/>
                <wp:docPr id="4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7F023C">
            <w:t>Ref: R1.0-1-12</w:t>
          </w:r>
        </w:p>
      </w:tc>
    </w:tr>
    <w:tr w:rsidR="0055699E" w:rsidRPr="00A86E96" w:rsidTr="00DD1242">
      <w:trPr>
        <w:trHeight w:hRule="exact" w:val="170"/>
      </w:trPr>
      <w:tc>
        <w:tcPr>
          <w:tcW w:w="7146" w:type="dxa"/>
          <w:vMerge/>
          <w:noWrap/>
          <w:tcMar>
            <w:left w:w="0" w:type="dxa"/>
            <w:right w:w="0" w:type="dxa"/>
          </w:tcMar>
          <w:vAlign w:val="bottom"/>
        </w:tcPr>
        <w:p w:rsidR="0055699E" w:rsidRPr="00A86E96" w:rsidRDefault="0055699E" w:rsidP="00891B78">
          <w:pPr>
            <w:pStyle w:val="Footer"/>
          </w:pPr>
        </w:p>
      </w:tc>
    </w:tr>
  </w:tbl>
  <w:p w:rsidR="008325C4" w:rsidRDefault="008325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715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162"/>
    </w:tblGrid>
    <w:tr w:rsidR="0055699E" w:rsidRPr="00A86E96" w:rsidTr="00342CE2">
      <w:trPr>
        <w:trHeight w:val="280"/>
      </w:trPr>
      <w:tc>
        <w:tcPr>
          <w:tcW w:w="7154" w:type="dxa"/>
          <w:vMerge w:val="restart"/>
          <w:noWrap/>
          <w:tcMar>
            <w:left w:w="0" w:type="dxa"/>
            <w:right w:w="57" w:type="dxa"/>
          </w:tcMar>
          <w:vAlign w:val="bottom"/>
        </w:tcPr>
        <w:p w:rsidR="0055699E" w:rsidRPr="00A86E96" w:rsidRDefault="00014022" w:rsidP="00DD1242">
          <w:pPr>
            <w:pStyle w:val="PageFootnote"/>
            <w:jc w:val="left"/>
          </w:pPr>
          <w:r w:rsidRPr="00014022">
            <w:rPr>
              <w:noProof/>
              <w:lang w:val="en-AU" w:eastAsia="en-AU"/>
            </w:rPr>
            <w:drawing>
              <wp:anchor distT="0" distB="0" distL="114300" distR="114300" simplePos="0" relativeHeight="251674624" behindDoc="1" locked="0" layoutInCell="1" allowOverlap="1" wp14:anchorId="3FF5E170" wp14:editId="56D65CD4">
                <wp:simplePos x="0" y="0"/>
                <wp:positionH relativeFrom="column">
                  <wp:posOffset>-360045</wp:posOffset>
                </wp:positionH>
                <wp:positionV relativeFrom="paragraph">
                  <wp:posOffset>-345440</wp:posOffset>
                </wp:positionV>
                <wp:extent cx="7559040" cy="971550"/>
                <wp:effectExtent l="19050" t="0" r="3810" b="0"/>
                <wp:wrapNone/>
                <wp:docPr id="6" name="Picture 3" descr="CancerAust_Banner_Low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ancerAust_Banner_Lower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040" cy="971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55699E" w:rsidRPr="00A86E96" w:rsidTr="00342CE2">
      <w:trPr>
        <w:trHeight w:hRule="exact" w:val="170"/>
      </w:trPr>
      <w:tc>
        <w:tcPr>
          <w:tcW w:w="7154" w:type="dxa"/>
          <w:vMerge/>
          <w:noWrap/>
          <w:tcMar>
            <w:left w:w="0" w:type="dxa"/>
            <w:right w:w="0" w:type="dxa"/>
          </w:tcMar>
          <w:vAlign w:val="bottom"/>
        </w:tcPr>
        <w:p w:rsidR="0055699E" w:rsidRPr="00A86E96" w:rsidRDefault="0055699E" w:rsidP="00891B78">
          <w:pPr>
            <w:pStyle w:val="Footer"/>
          </w:pPr>
        </w:p>
      </w:tc>
    </w:tr>
  </w:tbl>
  <w:p w:rsidR="008E3219" w:rsidRDefault="008E32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7F" w:rsidRDefault="0067267F" w:rsidP="000938F4">
      <w:pPr>
        <w:spacing w:after="0" w:line="240" w:lineRule="auto"/>
      </w:pPr>
      <w:r>
        <w:separator/>
      </w:r>
    </w:p>
  </w:footnote>
  <w:footnote w:type="continuationSeparator" w:id="0">
    <w:p w:rsidR="0067267F" w:rsidRDefault="0067267F" w:rsidP="00093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2E5" w:rsidRPr="000938F4" w:rsidRDefault="00014022" w:rsidP="004F32E5">
    <w:pPr>
      <w:pStyle w:val="Header"/>
      <w:jc w:val="right"/>
    </w:pPr>
    <w:r>
      <w:rPr>
        <w:noProof/>
        <w:lang w:eastAsia="en-AU"/>
      </w:rPr>
      <w:drawing>
        <wp:anchor distT="0" distB="0" distL="114300" distR="114300" simplePos="0" relativeHeight="251671552" behindDoc="1" locked="0" layoutInCell="1" allowOverlap="1" wp14:anchorId="68C43813" wp14:editId="4AA80F3D">
          <wp:simplePos x="0" y="0"/>
          <wp:positionH relativeFrom="column">
            <wp:posOffset>-361605</wp:posOffset>
          </wp:positionH>
          <wp:positionV relativeFrom="paragraph">
            <wp:posOffset>-191914</wp:posOffset>
          </wp:positionV>
          <wp:extent cx="7558558" cy="1481559"/>
          <wp:effectExtent l="19050" t="0" r="4292" b="0"/>
          <wp:wrapNone/>
          <wp:docPr id="1" name="Picture 0" descr="CancerAust_Banner_Upp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cerAust_Banner_Uppe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8558" cy="14815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32E5">
      <w:tab/>
    </w:r>
  </w:p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342CE2" w:rsidTr="004F3538">
      <w:trPr>
        <w:trHeight w:hRule="exact" w:val="1134"/>
      </w:trPr>
      <w:tc>
        <w:tcPr>
          <w:tcW w:w="2977" w:type="dxa"/>
        </w:tcPr>
        <w:p w:rsidR="00342CE2" w:rsidRDefault="00342CE2" w:rsidP="00342CE2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342CE2" w:rsidRPr="000938F4" w:rsidRDefault="00A05028" w:rsidP="00A05028">
          <w:pPr>
            <w:pStyle w:val="Heading1"/>
            <w:outlineLvl w:val="0"/>
          </w:pPr>
          <w:r w:rsidRPr="008A22D9">
            <w:t>Evidence list</w:t>
          </w:r>
        </w:p>
      </w:tc>
    </w:tr>
  </w:tbl>
  <w:p w:rsidR="000938F4" w:rsidRPr="004F32E5" w:rsidRDefault="000938F4" w:rsidP="004F32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7088"/>
    </w:tblGrid>
    <w:tr w:rsidR="004F3538" w:rsidTr="00497C79">
      <w:trPr>
        <w:trHeight w:hRule="exact" w:val="1134"/>
      </w:trPr>
      <w:tc>
        <w:tcPr>
          <w:tcW w:w="2977" w:type="dxa"/>
        </w:tcPr>
        <w:p w:rsidR="004F3538" w:rsidRDefault="004F3538" w:rsidP="004F3538"/>
      </w:tc>
      <w:tc>
        <w:tcPr>
          <w:tcW w:w="7088" w:type="dxa"/>
          <w:tcMar>
            <w:left w:w="0" w:type="dxa"/>
            <w:right w:w="0" w:type="dxa"/>
          </w:tcMar>
          <w:vAlign w:val="center"/>
        </w:tcPr>
        <w:p w:rsidR="004F3538" w:rsidRPr="000938F4" w:rsidRDefault="00F46A17" w:rsidP="00497C79">
          <w:pPr>
            <w:pStyle w:val="Heading1"/>
            <w:outlineLvl w:val="0"/>
          </w:pPr>
          <w:r>
            <w:rPr>
              <w:noProof/>
              <w:lang w:eastAsia="en-AU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4523105</wp:posOffset>
                    </wp:positionH>
                    <wp:positionV relativeFrom="paragraph">
                      <wp:posOffset>-130175</wp:posOffset>
                    </wp:positionV>
                    <wp:extent cx="1045210" cy="553085"/>
                    <wp:effectExtent l="6350" t="5080" r="2540" b="6985"/>
                    <wp:wrapNone/>
                    <wp:docPr id="2" name="AutoShap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0" y="0"/>
                              <a:ext cx="1045210" cy="553085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B5121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1" o:spid="_x0000_s1026" type="#_x0000_t5" style="position:absolute;margin-left:356.15pt;margin-top:-10.25pt;width:82.3pt;height:43.5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" fillcolor="#b5121b" stroked="f"/>
                </w:pict>
              </mc:Fallback>
            </mc:AlternateContent>
          </w:r>
        </w:p>
      </w:tc>
    </w:tr>
  </w:tbl>
  <w:p w:rsidR="004F32E5" w:rsidRPr="000938F4" w:rsidRDefault="004F32E5" w:rsidP="004F32E5">
    <w:pPr>
      <w:pStyle w:val="Header"/>
      <w:jc w:val="right"/>
    </w:pPr>
    <w:r>
      <w:tab/>
    </w:r>
  </w:p>
  <w:p w:rsidR="004F32E5" w:rsidRPr="004F32E5" w:rsidRDefault="004F32E5" w:rsidP="004F32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1" type="#_x0000_t75" style="width:7.5pt;height:13.5pt" o:bullet="t">
        <v:imagedata r:id="rId1" o:title="CancerAust_LinkBullet"/>
      </v:shape>
    </w:pict>
  </w:numPicBullet>
  <w:abstractNum w:abstractNumId="0">
    <w:nsid w:val="484373C0"/>
    <w:multiLevelType w:val="hybridMultilevel"/>
    <w:tmpl w:val="CF76925E"/>
    <w:lvl w:ilvl="0" w:tplc="BCA0C098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5609D"/>
    <w:multiLevelType w:val="hybridMultilevel"/>
    <w:tmpl w:val="68DC28C8"/>
    <w:lvl w:ilvl="0" w:tplc="7A44E8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252C21"/>
    <w:multiLevelType w:val="hybridMultilevel"/>
    <w:tmpl w:val="F9B43A00"/>
    <w:lvl w:ilvl="0" w:tplc="84FC169E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7F7F7F" w:themeColor="text1" w:themeTint="80"/>
        <w:sz w:val="24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A07141"/>
    <w:multiLevelType w:val="hybridMultilevel"/>
    <w:tmpl w:val="285EE7F0"/>
    <w:lvl w:ilvl="0" w:tplc="1B3C3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36"/>
        <w:u w:val="none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8F4"/>
    <w:rsid w:val="00001BB1"/>
    <w:rsid w:val="00014022"/>
    <w:rsid w:val="00057D90"/>
    <w:rsid w:val="000938F4"/>
    <w:rsid w:val="000A4B0F"/>
    <w:rsid w:val="00342CE2"/>
    <w:rsid w:val="00352EEA"/>
    <w:rsid w:val="00391A60"/>
    <w:rsid w:val="00410993"/>
    <w:rsid w:val="00443486"/>
    <w:rsid w:val="00483F7E"/>
    <w:rsid w:val="004D3391"/>
    <w:rsid w:val="004F32E5"/>
    <w:rsid w:val="004F3538"/>
    <w:rsid w:val="005504E9"/>
    <w:rsid w:val="00551A45"/>
    <w:rsid w:val="0055699E"/>
    <w:rsid w:val="005C1D5D"/>
    <w:rsid w:val="005E0B29"/>
    <w:rsid w:val="00632842"/>
    <w:rsid w:val="0067267F"/>
    <w:rsid w:val="006869F1"/>
    <w:rsid w:val="006B3AE0"/>
    <w:rsid w:val="006D2A50"/>
    <w:rsid w:val="007A5243"/>
    <w:rsid w:val="007F023C"/>
    <w:rsid w:val="00802B65"/>
    <w:rsid w:val="008325C4"/>
    <w:rsid w:val="00836471"/>
    <w:rsid w:val="008E3219"/>
    <w:rsid w:val="0096209D"/>
    <w:rsid w:val="00A05028"/>
    <w:rsid w:val="00A25C6F"/>
    <w:rsid w:val="00A5293B"/>
    <w:rsid w:val="00AA015C"/>
    <w:rsid w:val="00AE3AA7"/>
    <w:rsid w:val="00B239F8"/>
    <w:rsid w:val="00B6293A"/>
    <w:rsid w:val="00C23315"/>
    <w:rsid w:val="00C351E2"/>
    <w:rsid w:val="00DD1242"/>
    <w:rsid w:val="00EC517D"/>
    <w:rsid w:val="00EC6F03"/>
    <w:rsid w:val="00F12923"/>
    <w:rsid w:val="00F46A17"/>
    <w:rsid w:val="00F70725"/>
    <w:rsid w:val="00F91E6D"/>
    <w:rsid w:val="00FD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6F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34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A5293B"/>
    <w:pPr>
      <w:suppressAutoHyphens/>
      <w:autoSpaceDE w:val="0"/>
      <w:autoSpaceDN w:val="0"/>
      <w:adjustRightInd w:val="0"/>
      <w:spacing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character" w:styleId="Hyperlink">
    <w:name w:val="Hyperlink"/>
    <w:uiPriority w:val="99"/>
    <w:rsid w:val="00AE3AA7"/>
    <w:rPr>
      <w:rFonts w:ascii="Century Gothic" w:hAnsi="Century Gothic"/>
      <w:color w:val="B5121B"/>
      <w:sz w:val="20"/>
      <w:u w:val="single" w:color="B5121B"/>
    </w:rPr>
  </w:style>
  <w:style w:type="paragraph" w:customStyle="1" w:styleId="NormalPreHyperlink">
    <w:name w:val="Normal Pre Hyperlink"/>
    <w:basedOn w:val="Normal"/>
    <w:qFormat/>
    <w:rsid w:val="00AE3AA7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C6F"/>
    <w:rPr>
      <w:rFonts w:ascii="Century Gothic" w:hAnsi="Century Gothic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E2"/>
    <w:pPr>
      <w:keepNext/>
      <w:keepLines/>
      <w:tabs>
        <w:tab w:val="right" w:pos="9639"/>
      </w:tabs>
      <w:spacing w:after="0" w:line="480" w:lineRule="exact"/>
      <w:jc w:val="right"/>
      <w:outlineLvl w:val="0"/>
    </w:pPr>
    <w:rPr>
      <w:rFonts w:eastAsiaTheme="majorEastAsia" w:cstheme="majorBidi"/>
      <w:b/>
      <w:bCs/>
      <w:color w:val="B5121B"/>
      <w:sz w:val="4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015C"/>
    <w:pPr>
      <w:keepNext/>
      <w:keepLines/>
      <w:spacing w:after="120" w:line="240" w:lineRule="auto"/>
      <w:outlineLvl w:val="1"/>
    </w:pPr>
    <w:rPr>
      <w:rFonts w:eastAsiaTheme="majorEastAsia" w:cstheme="majorBidi"/>
      <w:b/>
      <w:bCs/>
      <w:color w:val="B5121B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3F7E"/>
    <w:pPr>
      <w:keepNext/>
      <w:keepLines/>
      <w:spacing w:before="200" w:after="120" w:line="240" w:lineRule="auto"/>
      <w:outlineLvl w:val="2"/>
    </w:pPr>
    <w:rPr>
      <w:rFonts w:eastAsiaTheme="majorEastAsia" w:cstheme="majorBidi"/>
      <w:b/>
      <w:bCs/>
      <w:color w:val="000000" w:themeColor="text1"/>
      <w:sz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3F7E"/>
    <w:pPr>
      <w:keepNext/>
      <w:keepLines/>
      <w:spacing w:before="200" w:after="60" w:line="240" w:lineRule="auto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3F7E"/>
    <w:pPr>
      <w:keepNext/>
      <w:keepLines/>
      <w:spacing w:before="200" w:after="60" w:line="240" w:lineRule="auto"/>
      <w:outlineLvl w:val="4"/>
    </w:pPr>
    <w:rPr>
      <w:rFonts w:eastAsiaTheme="majorEastAsia" w:cstheme="majorBidi"/>
      <w:b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8F4"/>
  </w:style>
  <w:style w:type="paragraph" w:styleId="Footer">
    <w:name w:val="footer"/>
    <w:basedOn w:val="Normal"/>
    <w:link w:val="FooterChar"/>
    <w:uiPriority w:val="99"/>
    <w:unhideWhenUsed/>
    <w:rsid w:val="000938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8F4"/>
  </w:style>
  <w:style w:type="paragraph" w:styleId="BalloonText">
    <w:name w:val="Balloon Text"/>
    <w:basedOn w:val="Normal"/>
    <w:link w:val="BalloonTextChar"/>
    <w:uiPriority w:val="99"/>
    <w:semiHidden/>
    <w:unhideWhenUsed/>
    <w:rsid w:val="0009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8F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42CE2"/>
    <w:rPr>
      <w:rFonts w:ascii="Century Gothic" w:eastAsiaTheme="majorEastAsia" w:hAnsi="Century Gothic" w:cstheme="majorBidi"/>
      <w:b/>
      <w:bCs/>
      <w:color w:val="B5121B"/>
      <w:sz w:val="48"/>
      <w:szCs w:val="28"/>
    </w:rPr>
  </w:style>
  <w:style w:type="table" w:styleId="TableGrid">
    <w:name w:val="Table Grid"/>
    <w:basedOn w:val="TableNormal"/>
    <w:uiPriority w:val="59"/>
    <w:rsid w:val="000938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A015C"/>
    <w:rPr>
      <w:rFonts w:ascii="Century Gothic" w:eastAsiaTheme="majorEastAsia" w:hAnsi="Century Gothic" w:cstheme="majorBidi"/>
      <w:b/>
      <w:bCs/>
      <w:color w:val="B5121B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3F7E"/>
    <w:rPr>
      <w:rFonts w:ascii="Century Gothic" w:eastAsiaTheme="majorEastAsia" w:hAnsi="Century Gothic" w:cstheme="majorBidi"/>
      <w:b/>
      <w:bCs/>
      <w:color w:val="000000" w:themeColor="text1"/>
      <w:sz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83F7E"/>
    <w:rPr>
      <w:rFonts w:ascii="Century Gothic" w:eastAsiaTheme="majorEastAsia" w:hAnsi="Century Gothic" w:cstheme="majorBidi"/>
      <w:b/>
      <w:bCs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3F7E"/>
    <w:rPr>
      <w:rFonts w:ascii="Century Gothic" w:eastAsiaTheme="majorEastAsia" w:hAnsi="Century Gothic" w:cstheme="majorBidi"/>
      <w:b/>
      <w:i/>
      <w:color w:val="000000" w:themeColor="text1"/>
      <w:sz w:val="20"/>
    </w:rPr>
  </w:style>
  <w:style w:type="paragraph" w:customStyle="1" w:styleId="PulloutQuote">
    <w:name w:val="Pullout Quote"/>
    <w:basedOn w:val="Normal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i/>
      <w:iCs/>
      <w:color w:val="00000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632842"/>
    <w:pPr>
      <w:suppressAutoHyphens/>
      <w:autoSpaceDE w:val="0"/>
      <w:autoSpaceDN w:val="0"/>
      <w:adjustRightInd w:val="0"/>
      <w:spacing w:after="113" w:line="280" w:lineRule="atLeast"/>
      <w:textAlignment w:val="center"/>
    </w:pPr>
    <w:rPr>
      <w:rFonts w:cs="Century Gothic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632842"/>
    <w:rPr>
      <w:rFonts w:ascii="Century Gothic" w:hAnsi="Century Gothic" w:cs="Century Gothic"/>
      <w:color w:val="000000"/>
      <w:sz w:val="20"/>
      <w:szCs w:val="20"/>
      <w:lang w:val="en-GB"/>
    </w:rPr>
  </w:style>
  <w:style w:type="paragraph" w:customStyle="1" w:styleId="BodyBullet">
    <w:name w:val="Body Bullet"/>
    <w:basedOn w:val="BodyText"/>
    <w:uiPriority w:val="99"/>
    <w:rsid w:val="006869F1"/>
    <w:pPr>
      <w:numPr>
        <w:numId w:val="1"/>
      </w:numPr>
      <w:spacing w:after="57"/>
    </w:pPr>
  </w:style>
  <w:style w:type="paragraph" w:customStyle="1" w:styleId="BodyBulletLast">
    <w:name w:val="Body Bullet Last"/>
    <w:basedOn w:val="BodyBullet"/>
    <w:uiPriority w:val="99"/>
    <w:rsid w:val="00632842"/>
    <w:pPr>
      <w:spacing w:after="170"/>
    </w:pPr>
  </w:style>
  <w:style w:type="paragraph" w:styleId="NoSpacing">
    <w:name w:val="No Spacing"/>
    <w:uiPriority w:val="1"/>
    <w:qFormat/>
    <w:rsid w:val="00483F7E"/>
    <w:pPr>
      <w:spacing w:after="0" w:line="240" w:lineRule="auto"/>
    </w:pPr>
    <w:rPr>
      <w:rFonts w:ascii="Century Gothic" w:hAnsi="Century Gothic"/>
      <w:sz w:val="20"/>
    </w:rPr>
  </w:style>
  <w:style w:type="paragraph" w:customStyle="1" w:styleId="PulloutQuoteName">
    <w:name w:val="Pullout Quote Name"/>
    <w:basedOn w:val="PulloutQuote"/>
    <w:qFormat/>
    <w:rsid w:val="00AA015C"/>
    <w:pPr>
      <w:spacing w:after="200" w:line="180" w:lineRule="atLeast"/>
    </w:pPr>
    <w:rPr>
      <w:sz w:val="16"/>
    </w:rPr>
  </w:style>
  <w:style w:type="paragraph" w:styleId="ListParagraph">
    <w:name w:val="List Paragraph"/>
    <w:basedOn w:val="Normal"/>
    <w:uiPriority w:val="34"/>
    <w:qFormat/>
    <w:rsid w:val="005E0B29"/>
    <w:pPr>
      <w:numPr>
        <w:numId w:val="3"/>
      </w:numPr>
      <w:spacing w:after="0"/>
      <w:ind w:left="284" w:hanging="284"/>
      <w:contextualSpacing/>
    </w:pPr>
  </w:style>
  <w:style w:type="paragraph" w:customStyle="1" w:styleId="NormalPreBullet">
    <w:name w:val="Normal Pre Bullet"/>
    <w:basedOn w:val="Normal"/>
    <w:qFormat/>
    <w:rsid w:val="00A25C6F"/>
    <w:pPr>
      <w:spacing w:after="0"/>
    </w:pPr>
  </w:style>
  <w:style w:type="paragraph" w:customStyle="1" w:styleId="ListParagraphLast">
    <w:name w:val="List Paragraph Last"/>
    <w:basedOn w:val="ListParagraph"/>
    <w:qFormat/>
    <w:rsid w:val="00410993"/>
    <w:pPr>
      <w:spacing w:after="160"/>
    </w:pPr>
  </w:style>
  <w:style w:type="paragraph" w:customStyle="1" w:styleId="Heading2Para">
    <w:name w:val="Heading 2 Para"/>
    <w:basedOn w:val="Heading2"/>
    <w:qFormat/>
    <w:rsid w:val="00410993"/>
    <w:pPr>
      <w:spacing w:before="240"/>
    </w:pPr>
  </w:style>
  <w:style w:type="paragraph" w:customStyle="1" w:styleId="Footnote">
    <w:name w:val="Footnote"/>
    <w:basedOn w:val="Normal"/>
    <w:uiPriority w:val="99"/>
    <w:rsid w:val="00A5293B"/>
    <w:pPr>
      <w:suppressAutoHyphens/>
      <w:autoSpaceDE w:val="0"/>
      <w:autoSpaceDN w:val="0"/>
      <w:adjustRightInd w:val="0"/>
      <w:spacing w:after="80" w:line="220" w:lineRule="atLeast"/>
      <w:textAlignment w:val="center"/>
    </w:pPr>
    <w:rPr>
      <w:rFonts w:cs="Century Gothic"/>
      <w:color w:val="000000"/>
      <w:sz w:val="16"/>
      <w:szCs w:val="16"/>
      <w:lang w:val="en-GB"/>
    </w:rPr>
  </w:style>
  <w:style w:type="paragraph" w:customStyle="1" w:styleId="RedLink">
    <w:name w:val="Red Link"/>
    <w:basedOn w:val="Normal"/>
    <w:uiPriority w:val="99"/>
    <w:rsid w:val="00FD1E50"/>
    <w:pPr>
      <w:suppressAutoHyphens/>
      <w:autoSpaceDE w:val="0"/>
      <w:autoSpaceDN w:val="0"/>
      <w:adjustRightInd w:val="0"/>
      <w:spacing w:after="40" w:line="280" w:lineRule="atLeast"/>
      <w:textAlignment w:val="center"/>
    </w:pPr>
    <w:rPr>
      <w:rFonts w:cs="Century Gothic"/>
      <w:color w:val="B70000"/>
      <w:szCs w:val="20"/>
      <w:u w:val="single"/>
      <w:lang w:val="en-GB"/>
    </w:rPr>
  </w:style>
  <w:style w:type="paragraph" w:customStyle="1" w:styleId="PageNumber">
    <w:name w:val="PageNumber"/>
    <w:basedOn w:val="Footer"/>
    <w:qFormat/>
    <w:rsid w:val="0055699E"/>
    <w:pPr>
      <w:tabs>
        <w:tab w:val="clear" w:pos="4513"/>
        <w:tab w:val="clear" w:pos="9026"/>
      </w:tabs>
      <w:spacing w:line="160" w:lineRule="exact"/>
      <w:jc w:val="center"/>
    </w:pPr>
    <w:rPr>
      <w:sz w:val="16"/>
    </w:rPr>
  </w:style>
  <w:style w:type="paragraph" w:customStyle="1" w:styleId="PageFootnote">
    <w:name w:val="Page Footnote"/>
    <w:basedOn w:val="Normal"/>
    <w:qFormat/>
    <w:rsid w:val="0055699E"/>
    <w:pPr>
      <w:suppressAutoHyphens/>
      <w:autoSpaceDE w:val="0"/>
      <w:autoSpaceDN w:val="0"/>
      <w:adjustRightInd w:val="0"/>
      <w:spacing w:after="0" w:line="280" w:lineRule="atLeast"/>
      <w:jc w:val="right"/>
      <w:textAlignment w:val="center"/>
    </w:pPr>
    <w:rPr>
      <w:rFonts w:cs="Century Gothic"/>
      <w:color w:val="000000"/>
      <w:sz w:val="16"/>
      <w:szCs w:val="16"/>
      <w:lang w:val="en-GB"/>
    </w:rPr>
  </w:style>
  <w:style w:type="character" w:styleId="Hyperlink">
    <w:name w:val="Hyperlink"/>
    <w:uiPriority w:val="99"/>
    <w:rsid w:val="00AE3AA7"/>
    <w:rPr>
      <w:rFonts w:ascii="Century Gothic" w:hAnsi="Century Gothic"/>
      <w:color w:val="B5121B"/>
      <w:sz w:val="20"/>
      <w:u w:val="single" w:color="B5121B"/>
    </w:rPr>
  </w:style>
  <w:style w:type="paragraph" w:customStyle="1" w:styleId="NormalPreHyperlink">
    <w:name w:val="Normal Pre Hyperlink"/>
    <w:basedOn w:val="Normal"/>
    <w:qFormat/>
    <w:rsid w:val="00AE3AA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17158048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healthassociates.co.uk/uploads/documents/An%20economic%20case%20for%20involvement%20v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nlinelibrary.wiley.com/doi/10.1002/14651858.CD004563.pub2/pdf/standard" TargetMode="External"/><Relationship Id="rId10" Type="http://schemas.openxmlformats.org/officeDocument/2006/relationships/hyperlink" Target="http://www.health.qld.gov.au/hcq/publications/improved-health.pd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healthissuescentre.org.au/documents/items/2008/08/226174-upload-00001.pdf" TargetMode="External"/><Relationship Id="rId14" Type="http://schemas.openxmlformats.org/officeDocument/2006/relationships/hyperlink" Target="http://www.invo.org.uk/wp-content/uploads/2011/11/Involve_Exploring_Impactfinal28.10.09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IDYours</dc:creator>
  <cp:lastModifiedBy>Susan Hanson</cp:lastModifiedBy>
  <cp:revision>4</cp:revision>
  <dcterms:created xsi:type="dcterms:W3CDTF">2012-12-21T08:16:00Z</dcterms:created>
  <dcterms:modified xsi:type="dcterms:W3CDTF">2012-12-21T08:18:00Z</dcterms:modified>
</cp:coreProperties>
</file>